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</w:rPr>
        <w:t>优秀青年学者培育计划中期进展报告</w:t>
      </w:r>
    </w:p>
    <w:p>
      <w:pPr>
        <w:jc w:val="center"/>
        <w:rPr>
          <w:rFonts w:hint="eastAsia" w:ascii="黑体" w:eastAsia="黑体"/>
          <w:sz w:val="48"/>
        </w:rPr>
      </w:pPr>
    </w:p>
    <w:p>
      <w:pPr>
        <w:jc w:val="center"/>
        <w:rPr>
          <w:rFonts w:hint="eastAsia" w:ascii="黑体" w:eastAsia="黑体"/>
          <w:sz w:val="48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</w:t>
      </w: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填报的各项工作成绩和数据，必须是优秀青年学者在优秀青年学者岗位聘用期间取得的成果。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黑体" w:eastAsia="黑体"/>
          <w:b/>
          <w:sz w:val="24"/>
        </w:rPr>
      </w:pPr>
    </w:p>
    <w:p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p>
      <w:pPr>
        <w:jc w:val="left"/>
      </w:pPr>
    </w:p>
    <w:p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p/>
    <w:p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jc w:val="left"/>
      </w:pPr>
    </w:p>
    <w:p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、中期情况总结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bookmarkStart w:id="5" w:name="_GoBack"/>
            <w:bookmarkEnd w:id="5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bookmarkStart w:id="0" w:name="_Hlk123631201"/>
            <w:bookmarkEnd w:id="0"/>
            <w:bookmarkStart w:id="1" w:name="_Hlk124175312"/>
            <w:bookmarkEnd w:id="1"/>
            <w:bookmarkStart w:id="2" w:name="_Hlk123631381"/>
            <w:bookmarkEnd w:id="2"/>
            <w:bookmarkStart w:id="3" w:name="_Hlk124175944"/>
            <w:bookmarkEnd w:id="3"/>
            <w:bookmarkStart w:id="4" w:name="_Hlk124264988"/>
            <w:bookmarkEnd w:id="4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2020年入选者参考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bidi="ar-SA"/>
              </w:rPr>
              <w:t>《优秀青年学者培育计划实施办法(修订)》（中石大京人〔2018〕11号）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 w:bidi="ar-SA"/>
              </w:rPr>
              <w:t>文件，2021年入选者参考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bidi="ar-SA"/>
              </w:rPr>
              <w:t>《优秀青年学者培育计划实施办法(修订)》（中石大京人〔20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 w:bidi="ar-SA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bidi="ar-SA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 w:bidi="ar-SA"/>
              </w:rPr>
              <w:t>34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bidi="ar-SA"/>
              </w:rPr>
              <w:t>号）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lightGray"/>
                <w:shd w:val="clear"/>
                <w:lang w:eastAsia="zh-CN" w:bidi="ar-SA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逐一对应岗位职责，简述中期完成情况。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1. 具备本科核心课程讲授能力，积极参与课程体系建设，把思想政治教育贯穿教育教学全过程，在人才培养工作中发挥骨干作用。聘期内需担任本科生班主任或学业导师至少1年，并且学院考核结果为合格及以上。落实立德树人根本任务，充分发挥教学示范、科研模范和师德师风典范作用，做“四有”好老师，在青年教师中起到表率作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（对优秀青年学者的思想政治表现和师德师风表现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/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（对优秀青年学者的政治思想素质、师德师风、学术诚信、廉洁自律的审查意见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年  月  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88937CA"/>
    <w:rsid w:val="08FF02C5"/>
    <w:rsid w:val="0D9434B3"/>
    <w:rsid w:val="0F703A91"/>
    <w:rsid w:val="1A000BFA"/>
    <w:rsid w:val="1B812F19"/>
    <w:rsid w:val="1D022009"/>
    <w:rsid w:val="1D08550B"/>
    <w:rsid w:val="1FFA7639"/>
    <w:rsid w:val="21097725"/>
    <w:rsid w:val="2C48517B"/>
    <w:rsid w:val="33271463"/>
    <w:rsid w:val="35FF59D4"/>
    <w:rsid w:val="3C91562B"/>
    <w:rsid w:val="3CE21BD6"/>
    <w:rsid w:val="3F301CC3"/>
    <w:rsid w:val="3FE42A21"/>
    <w:rsid w:val="41687A32"/>
    <w:rsid w:val="41E73B84"/>
    <w:rsid w:val="4D50356C"/>
    <w:rsid w:val="4ED72ABF"/>
    <w:rsid w:val="50DC1D1E"/>
    <w:rsid w:val="51BB1054"/>
    <w:rsid w:val="578745C3"/>
    <w:rsid w:val="58CB1BA8"/>
    <w:rsid w:val="5A993011"/>
    <w:rsid w:val="5CEA22A7"/>
    <w:rsid w:val="60397415"/>
    <w:rsid w:val="619D2E3F"/>
    <w:rsid w:val="63B23EFD"/>
    <w:rsid w:val="67131E9F"/>
    <w:rsid w:val="68700795"/>
    <w:rsid w:val="694130F8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6802A46"/>
    <w:rsid w:val="7780435E"/>
    <w:rsid w:val="787B6027"/>
    <w:rsid w:val="79B359F6"/>
    <w:rsid w:val="7B26142C"/>
    <w:rsid w:val="7C921F30"/>
    <w:rsid w:val="7CD64D47"/>
    <w:rsid w:val="7CFB75B8"/>
    <w:rsid w:val="7CFD612D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